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Лариков Алексей Владимирович обратился в суд с заявлением о признании недействительным соглашения от 20.01.2017 о расторжении договоров купли-продажи транспортного средства от 14.05.2016 и соглашения от 20.01.2017 о расторжении договора купли-продажи транспортного средства от 17.05.2016, заключенных между должником и обществом, применении последствий недействительности сделок. Определением Арбитражного суда Саратовской области от 30.10.2019, оставленным без изменения постановлением Двенадцатого арбитражного апелляционного суда от 30.12.2019, заявление оставлено без удовлетворения. Постановлением Арбитражного суда Поволжского округа от 25.06.2020 вышеуказанные судебные акты отменены, обособленный спор направлен на новое рассмотрение в Арбитражный суд Саратовской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руководствовался статьями 2, 61.1, 61.2, 61.3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 исходил из того, что изложенные в них выводы основаны на неполном выяснении фактических обстоятельств дела, имеющихся в нём доказательств, в том числе, заслуживающих внимания, однако не получивших надлежащей оценки, доводов конкурсного управляющего. Обжалуемое постановление принято в пределах полномочий, предоставленных суду кассационной инстанции (статья 287 Арбитражного процессуально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«Тепловые системы»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