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Томилов Сергей Геннадьевич обратился в суд с заявлением о признании его требования в размере 43 143 380 рублей 91 копейки общими обязательствами должника и её супруга Якупова И.Г. Определением Арбитражного суда Челябинской области от 14.11.2019 в удовлетворении заявления отказано. Постановлением Восемнадцатого арбитражного апелляционного суда от 04.03.2020, оставленным без изменения постановлением Арбитражного суда Уральского округа от 08.07.2020,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удовлетворяя заявление, апелляционный суд руководствовался статьями 323, 325 Гражданского кодекса Российской Федерации, статьями 34, 39, 45 Семейного кодекса Российской Федерации, статьями 213.8, 213.19, 213.24 Федерального закона от 26.10.2002 № 127-ФЗ «О несостоятельности (банкротстве)», пунктом 5 Обзора судебной практики Верховного Суда Российской Федерации № 1 (2016), утверждённого Президиумом Верховного Суда Российской Федерации 13.04.2016, и исходил из наличия оснований для признания требования кредитора общим обязательством супругов,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Доводы, изложенные в настоящей жалобе,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Якупову Ильдару Габдульбаровичу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