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«Меркурий» в лице конкурсного управляющего обратилось в Арбитражный суд Орловской области с иском, уточненным в порядке статьи 49 Арбитражного процессуального кодекса Российской Федерации, о взыскании с индивидуального предпринимателя ФИО1 1 273 480 рублей неосновательного обогащения. К участию в деле в качестве третьих лиц, не заявляющих самостоятельных требований относительно предмета спора, привлечены ФИО2, общество с ограниченной ответственностью «Золотой восток», общество с ограниченной ответственностью «Спецтехстрой». Решением Арбитражного суда Орловской области от 23.07.2019 иск удовлетворен. Дополнительным решением Арбитражного суда Орловской области от 09.08.2019 разрешен вопрос о распределении расходов на оплату судебной экспертизы. Постановлением Девятнадцатого арбитражного апелляционного суда от 31.01.2020 решение суда первой инстанции отменено и в удовлетворении иска отказано. Арбитражный суд Центрального округа постановлением от 17.07.2020 постановление суда апелляционной инстанции оставил без изменения. Общество с ограниченной ответственностью «Меркурий» в лице конкурсного управляющего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решение суда первой инстанции, апелляционный суд, оценив представленные доказательства в их совокупности и взаимной связи по правилам статей 65 , 66 , 71 Арбитражного процессуального кодекса Российской Федерации, учитывая в соответствии с положениями статей 16 , 69 Арбитражного процессуального кодекса Российской Федерации обстоятельства, установленные по ранее рассмотренному делу № А48-2271/2016 Арбитражного суда Орловской области, установив, что между сторонами по договору цессии произведен зачет взаимных требований на основании заявления ответчика, руководствуясь положениями статей 8 , 154 , 407 , 410 , 1102 Гражданского кодекса Российской Федерации, пришел к выводу об отсутствии оснований для удовлетворения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заявителем в кассационное жалобе, приводились в судах,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«Меркурий» в лице конкурсного управляющего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К\у Щербаков Д. А. (подробнее) ООО "Меркурий" (подробнее) ООО "Меркурий" в лице конкурсного управляющего Щербаков д.А. (подробнее) Ответчики: ИП Сырцев Владимир Николаевич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