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«Азия-Инвест Банк» (далее – банк) обратилось в суд с заявлением о признании за ним статуса залогового кредитора по требованию на сумму 205 926 465 рублей 18 копеек на основании договоров залога № 1 и № 2 в виде прав (требований) на получение экспортной выручки по контрактам от 26.06.2011 № 041/11, от 05.01.2011 № 04-У, от 01.07.2010 № 23-У и от 08.02.2013 № 146-У. Общество с ограниченной ответственностью «ЗУМК-Трейд» (далее – общество) и конкурсный управляющий должником Метла А.С. обратились в суд с заявлениями о признании недействительной сделки по списанию банком со счёта должника денежных средств в общем размере 1 821 587,76 долларов США, применении последствий её недействительности. Определением Арбитражного суда Пермского края от 23.11.2019 в удовлетворении заявления банка отказано, требования конкурсного управляющего должником и общества удовлетворены. 2 Постановлением Семнадцатого арбитражного апелляционного суда от 19.02.2020, оставленным без изменения постановлением Арбитражного суда Уральского округа от 30.06.2020, вышеуказанное определение изменено. В удовлетворении заявления о признании недействительной сделки должника и применении последствий её недействительности отказано. В остальной части определение суда первой инстанции от 23.11.2019 оставлено без изменения.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Изменяя определение,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61.1, 61.3 Федерального закона от 26.10.2002 № 127-ФЗ «О несостоятельности (банкротстве)», пунктом 29.3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указал на недоказанность совокупности условий для признания недействительной оспариваемой сделки ввиду отсутствия у неё признаков предпочтения в пользу банка, действовавшего добросовестно и не располагавшего сведениями на момент её совершения о неплатёжеспособности должника.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заявителями в жалобах доводы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3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«ЗУМК-Инжиниринг» Метла Анастасии Сергеевне и акционерному обществу «Государственный специализированный Российский экспортно-импортный банк»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