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28 283 620 рублей. Определением Арбитражного суда города Москвы от 17.01.2020, оставленным без изменения постановлениями Девятого арбитражного апелляционного суда от 19.03.2020 и Арбитражного суда Московского округа от 02.07.2020,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196, 200, 204, 222 Гражданского кодекса Российской Федерации, пунктом 18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исходили из пропуска заявителем срока исковой давности по предъявленному требованию, в связи с чем отказали во включении последнего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«Горская строительная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