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«Газпром трансгаз Нижний Новгород» (далее – общество) обратилось в суд с заявлением о включении в реестр требований кредиторов должника требования в размере 55 789 783 рублей 46 копеек. Определением Арбитражного суда Нижегородской области от 13.09.2019, оставленным без изменения постановлениями Первого арбитражного апелляционного суда от 17.12.2019 и Арбитражного суда Волго-Вятского округа от 25.06.2020,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обществу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195, 196, 200, 414 Гражданского кодекса Российской Федерации, статьей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наличия неисполненных должником обязательств перед обществом на основании действительной и неотменённой сделки, и, как следствие, оснований для включения заявленного в установленный для предъявления законом срок требования в реестр.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«Волгостройинвест»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