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октября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 обратился в суд с заявлениями, объединёнными в одно производство для совместного рассмотрения, о пересмотре по вновь открывшимся обстоятельствам определения Арбитражного суда Свердловской области от 30.10.2018 и решения того же суда от 18.03.2019; об исключении из реестра требований кредиторов должника (далее – реестр) требования Костроминой Натальи Михайловны в размере 1 241 980 рублей 44 копеек, включённых в первую очередь реестра. Определением Арбитражного суда Свердловской области от 23.09.2019, оставленным без изменения постановлениями Семнадцатого арбитражного апелляционного суда от 19.12.2019 и Арбитражного суда Уральского округа от 19.06.2020, в удовлетворении заявлений отказано. В кассационной жалобе, поданной в Верховный Суд Российской Федерации, заявитель просит отменить указанные судебные акты и направить дело на новое рассмотрение в суд первой инстанции.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2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Разрешая спор, суды руководствовались статьями 309-312 Арбитражного процессуального кодекса Российской Федерации, пунктами 3, 4 постановления Пленума Высшего Арбитражного Суда Российской Федерации от 30.06.2011 № 52 «О применении положений Арбитражного процессуального кодекса Российской Федерации при пересмотре судебных актов по новым или вновь открывшимся обстоятельствам» и исходили из того, что приводимые заявителем обстоятельства не соответствовали признакам вновь открывшихся, а являлись новыми доказательствами применительно к фактам, которые уже были предметом исследования, в связи с чем не могли служить основанием для пересмотра судебных актов. Выводы судов соответствуют нормам права, оснований для переоценки этих выводов не имеется. Несогласие заявителя с выводами судебных инстанций, основанными на установленных фактических обстоятельствах дела и оценке доказательств, не свидетельствует о неправильном применении судами норм процессуального права, повлиявшем на исход дела.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Костромину Дмитрию Николаевичу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