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просит об отсрочке уплаты государственной пошлины в связи с отсутствием денежных средств.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Суд счел ходатайство подлежащим удовлетворению исходя из ведения в отношении заявителя процедур в рамках дела о банкротстве. Руководствуясь статьей 184 Арбитражного процессуального кодекса Российской Федерации, статьей 333.22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обществу с ограниченной ответственностью «Кристалл-групп» отсрочку уплаты государственной пошлины до окончания производства по поданной им кассационной жалобе.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