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«Уфимский завод микроэлектроники «Магнетрон»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акционерного общества «Российская самолетостроительная корпорация «МиГ» 11 203 699 рублей 75 копеек задолженности по контракту от 10.12.2015 № 430д/05315991 и 1 971 635 рублей 41 копейки процентов за пользование чужими денежными средствами за период с 11.04.2016 по 19.12.2018. Решением Арбитражного суда города Москвы от 15.10.2019 иск удовлетворен. Постановлением Девятого арбитражного апелляционного суда от 28.01.2020 решение суда первой инстанции оставлено без изменения. Постановлением Арбитражного суда Московского округа от 29.06.2020 произведена процессуальная замена истца – акционерного общества «Уфимский завод микроэлектроники «Магнетрон» на правопреемника – акционерное общество «Башкирское производственное объединение «Прогресс», указанные судебные акты оставлены без изменения. Акционерное общество «Российская самолетостроительная корпорация «МиГ»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 66 , 71 Арбитражного процессуального кодекса Российской Федерации, признав доказанным факт согласования сторонами цены за единицу изделия и установив ненадлежащее исполнение ответчиком принятых на себя обязательств по оплате поставленного товара, руководствуясь положениями статей 309 , 310 , 395 , 422 , 424 , 431 , 506 Гражданского кодекса Российской Федерации, суды пришли к выводу о наличии оснований для удовлетворения иска. Доводы, изложенные в кассационной жалобе, о порядке согласования цены договора и несогласии с ценой продукции были рассмотрены судами и мотивированно отклонены. Эти доводы,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«Российская самолетостроительная корпорация «МиГ»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"БПО "Прогресс" (подробнее) АО "Уфимский Завод микроэлектроники "Магнетрон" (подробнее) Ответчики: АО "РОССИЙСКАЯ САМОЛЕТОСТРОИТЕЛЬНАЯ КОРПОРАЦИЯ "МИГ" (подробнее) Судьи дела: Зарубина Е.Н. (судья) (подробнее) Судебная практика по: По договору поставки Судебная практика по применению норм ст. 506, 507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