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22.08.2019, оставленным без изменения постановлением Семнадцатого арбитражного апелляционного суда от 18.12.2019 и постановлением Арбитражного суда Уральского округа от 13.07.2020 исковые требования удовлетворены.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395 , 1102 , 1107 Гражданского кодекса Российской Федерации, статьями 36 , 44 , 46 , 154 , 158 , 161 ,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пришли к выводу об обоснованности исковых требований. В частности, суды исходили из того, что собственники помещений спорных многоквартирных домов решениями, оформленными протоколами внеочередного общего собрания собственников помещений многоквартирных домов, расторгли заключенные ими с обществом договоры управления и выбрали новую управляющую организацию – компанию; поскольку факт получения обществом денежных средств от собственников помещений по статье «капитальный ремонт» в заявленном размере подтвержден, а доказательств расходования этих средств на соответствующие цели не представлено, у ответчика отсутствуют основания для их удержания и на его стороне возникло неосновательное обогащение; ввиду неправомерного удержания ответчиком денежных средств, последний обязан уплатить проценты за пользование чужими денежными средствами. С указанными выводами впоследствии согласился суд округа. Доводы кассационной жалобы, в том числе о пропуске истцом срока исковой давности,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«Орджоникидзевская управляющая жилищная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"Единый расчетный центр" (подробнее) ООО УПРАВЛЯЮЩАЯ ЖИЛИЩНАЯ КОМПАНИЯ ЖКО - ЕКАТЕРИНБУРГ (подробнее) Ответчики: АО ОРДЖОНИКИДЗЕВСКАЯ УПРАВЛЯЮЩАЯ ЖИЛИЩНАЯ КОМПАНИЯ (подробнее) Иные лица: СПИ Орджоникидзевский РОСП г. Екатеринбурга, УФССП России по СО Сайфутдинова А.А.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