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«Агентство по оздоровлению банковской системы» обратилось в Арбитражный суд города Москвы с иском о взыскании с общества с ограниченной ответственностью «Адонис» 157 515,18 евро задолженности. Решением Арбитражного суда города Москвы от 30.09.2019 иск удовлетворен. Постановлением Девятого арбитражного апелляционного суда от 20.01.2020 решение суда первой инстанции оставлено без изменения. Арбитражный суд Московского округа постановлением от 30.06.2020 указанные судебные акты оставил без изменения. Общество с ограниченной ответственностью «Адонис»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на основании соглашения об уступке прав требования приобрел финансовые активы ЗАО «Тираспромстройбанк», в том числе по кредитному договору от 05.02.2016 № 2, заключенному между ЗАО «Тираспромстройбанк» и ответчиком, а также права, обеспечивающие исполнение обязательств по данному кредитному договору и другие связанные с требованием права, предусмотренные кредитным договором, признав доказанным факт ненадлежащего исполнения ответчиком обязательств по кредитному договору, руководствуясь положениями статей 382 , 384 , 809 , 811 , 819 Гражданского кодекса Российской Федерации, суды удовлетворили заявленное требование. При этом с учетом принятого Арбитражным судом города Москвы судебного акта по делу № А40-188140/2018 суды пришли к выводу о том, что истец правомерно обратился за защитой нарушенного права в суд согласно территориальной подсудности (по месту нахождения ответчика) с требованием о взыскании задолженности по кредитному договору. Доводы ответчика о рассмотрении дела в отсутствие документов, подтверждающих юридический статус истца и право на осуществление предпринимательской и иной экономической деятельности, рассмотрены судами и отклонены.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«Адонис»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Агентство по оздоровлению банковской системы (подробнее) Ответчики: ООО "Адонис" (подробнее) Судьи дела: Зарубина Е.Н.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