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«Грузовики и Спецтехника» удовлетворить. Срок подачи кассационной жалобы на решение Арбитражного суда Челябинской области от 16.10.2019 по делу № А76-22495/2018, постановление Восемнадцатого арбитражного апелляционного суда от 03.02.2020 и постановление Арбитражного суда Уральского округа от 08.06.2020 по тому же делу восстановить. Судья Верховного Суда Российской Федерации Е.Н. Зарубина Суд: Верховный Суд РФ (подробнее) Ответчики: ООО "Грузовики и Спецтехника" (подробнее) Иные лица: Союз "Торгово-промышленная палата Ханты-Мансийского автономного округа-Югра" (подробнее) Судьи дела: Зарубина Е.Н. (судья) (подробнее) Последние документы по делу: Определение от 21 октября 2020 г. по делу № А76-22495/2018 Определение от 1 сентября 2020 г. по делу № А76-22495/2018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