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«Вимм-Билль-Данн» обратилось в Арбитражный суд города Москвы с иском о взыскании с общества с ограниченной ответственностью «Карго Лайн» 3 394 805 рублей 22 копеек в возмещение убытков. Решением Арбитражного суда города Москвы от 19.12.2019 иск удовлетворен. Постановлением Девятого арбитражного апелляционного суда от 04.02.2020 решение суда первой инстанции оставлено без изменения. Арбитражный суд Московского округа постановлением от 22.06.2020 указанные судебные акты оставил без изменения. Общество с ограниченной ответственностью «Карго Лайн»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 309 , 310 , 393 , 801 , 803 Гражданского кодекса Российской Федерации, положениями Федерального закона от 30.06.2003 № 87-ФЗ «О транспортно-экспедиционной деятельности», суды пришли к выводу об обоснованности иска исходя из доказанности факта повреждения груза, размера причиненного ущерба в результате ненадлежащего исполнения обязательств экспедитором, а также обязанности последнего по возмещению ущерба. Доводы жалобы о неверном определении размера убытков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«Карго Лайн»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"ВИММ-БИЛЛЬ-ДАНН" (подробнее) Ответчики: ООО "Карго Лайн"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