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25.12.2019, оставленным без изменения постановлением Девятнадцатого арбитражного апелляционного суда от 12.03.2020 и постановлением Арбитражного суда Центрального округа от 08.07.2020,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установлено.Как следует из судебных актов, компания (поставщик), обращаясь в арбитражный суд с иском по настоящему делу, сослалась на неисполнение обществом (покупателем) обязательств по оплате товара, поставленного истцом в рамках договора поставки от 10.11.2014 № 1/10112014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поставки компанией и принятия обществом товара в отсутствие претензий относительно его количества, стоимости и качества. При таких обстоятельствах, учитывая, что доказательств оплаты товара в соответствии с условиями договора обществом не представлено, руководствуясь статьями 307 , 309 , 310 , 329 , 330 , 506 , 516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 наличии оснований для удовлетворения исковых требований.С указанными выводами впоследствии согласился суд округа. Доводы заявителя о пропуске срока исковой давности были предметом рассмотрения судов и получили соответствующую правовую оценку.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«Черкизово-растениеводство»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"Аграрий" (подробнее) Ответчики: ООО "ЧЕРКИЗОВО-РАСТЕНИЕВОДСТВО" (подробнее) Иные лица: Арбитражный суд Пензенской области (подробнее) Арбитражный суд Центрального округа (подробнее) Девятнадцатый арбитражный апелляционный суд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