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определение Пятого арбитражного апелляционного суда от 23.03.2020 и постановление Арбитражного суда Дальневосточного округа от 26.05.2020 по делу № А51-7262/2019,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Ходатайство Общества мотивировано ограничительными мерами, введенными в целях противодействия распространению новой коронавирусной инфекции (COVID-19) на территории Приморского края.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АПК РФ .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«Производственно-строительная компания «Риватис» о восстановлении пропущенного процессуального срока на подачу кассационной жалобы на определение Пятого арбитражного апелляционного суда от 23.03.2020 и постановление Арбитражного суда Дальневосточного округа от 26.05.2020 по делу № А51-7262/2019. Судья Верховного Суда Российской Федерации И.Л. Грачева Суд: Верховный Суд РФ (подробнее) Истцы: Департамент земельных и имущественных отношений Приморского края (подробнее) Ответчики: ООО "ПРОИЗВОДСТВЕННО-СТРОИТЕЛЬНАЯ КОМПАНИЯ "РИВАТИС" (подробнее) Иные лица: МИФНС №12 по Приморскому краю (подробнее) Управление муниципальной собственности г.Владивостока (подробнее) Судьи дела: Грачева И.Л. (судья) (подробнее) Последние документы по делу: Определение от 21 октября 2020 г. по делу № А51-7262/2019 Определение от 31 августа 2020 г. по делу № А51-7262/2019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