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муниципального имущества администрации Волгограда обратился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ответственности «Диамант Девелопмент Групп Волд» (далее – Общество) о взыскании 3 349 771 рубля 33 копеек задолженности по договору аренды земельного участка от 09.06.2012 № 10573 за период с 01.12.2015 по 31.10.2019 и 10 338 544 рублей 41 копейки пени за период с 01.12.2015 по 31.10.2019. Решением Арбитражного суда Волгоградской области от 21.02.2020, оставленным без изменения постановлением Двенадцатого арбитражного апелляционного суда от 27.05.2020 и постановлением Арбитражного суда Поволжского округа от 28.07.2020, требования удовлетворены частично: с Общества взыскано 1 027 476 рублей 46 копеек задолженность по арендной плате за период с 12.11.2016 по 31.10.2019 и 8 909 049 рублей 03 копейки пени за период с 12.11.2016 по 31.10.2019.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«Диамант Девелопмент Групп Волд». Срок подачи кассационной жалобы на решение Арбитражного суда Волгоградской области от 21.02.2020, постановление Двенадцатого арбитражного апелляционного суда от 27.05.2020 и постановление Арбитражного суда Поволжского округа от 28.07.2020 по делу № А12-45973/2019 восстановить. Судья Верховного Суда Российской Федерации Н.С. Чучунова Суд: Верховный Суд РФ (подробнее) Истцы: Департамент муниципального имущества Администрации Волгограда (подробнее) Ответчики: ООО "Диамант Девелопмент Групп Волд" (подробнее) Иные лица: АО "Райффайзенбанк" (подробнее) Судьи дела: Чучунова Н.С. (судья) (подробнее) Последние документы по делу: Определение от 14 декабря 2020 г. по делу № А12-45973/2019 Определение от 20 октября 2020 г. по делу № А12-45973/2019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