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Иванцова Анастасия Андреевна обратилась в Арбитражный суд города Москвы с иском к ответчику обществу с ограниченной ответственностью «Евроком» (далее – Общество) об обязании ответчика предоставить документы о деятельности юридического лица согласно перечню, указанном в исковом заявлении. Решением Арбитражного суда города Москвы от 13.11.2019 заявленные требования удовлетворены в полном объеме. Постановлением Девятого арбитражного апелляционного суда от 11.02.2020 решение от 13.11.2019 отменено, в удовлетворении иска отказано; с Иванцовой А.А. в доход федерального бюджета взыскано 6 000 рублей государственной пошлины по иску, в пользу Общества взыскано 3 000 расходов по уплате государственной пошлины по апелляционной жалобе. Постановлением Арбитражного суда Московского округа от 15.06.2020 апелляционное постановление от 11.02.2020 отменено в части взыскания с Иванцовой А.А. в доход федерального бюджета государственной пошлины по иску в размере 6 000 рублей и взыскания в пользу Общества расходов по уплате государственной пошлины по апелляционной жалобе в размере 3 000 рублей. 2 Обществу возвращена из федерального бюджета государственная пошлина по апелляционной жалобе, уплаченная по платежному поручению от 14.01.2020 № 1 в размере 3 000 рублей. В остальной части постановление Девятого арбитражного апелляционного суда от 11.02.2020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настаивает, что Обществом не исполнена надлежащим образом обязанность по предоставлению участнику юридического лица испрашиваемых документов.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Иванцова А.А., являясь участником Общества, которой принадлежит доля в размере 50% уставного капитала, обратилась к ответчику с заявлением от 10.05.2019 о предоставлении заверенных документов. Неисполнение требования по представлению документов послужило основанием для обращения Иванцовой А.А. в арбитражный суд с соответствующими требованиями. Удовлетворяя иск, суд первой инстанции исходил из того, что Обществом не было исполнено требование истца о предоставлении документов. Повторно исследовав и оценив по правилам статьи 71 АПК РФ представленные доказательства, руководствуясь статьями 32, 40,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 апелляционной инстанции, с выводами которого согласился суд округа, отменил решение суда первой инстанции и отказал в истребовании документов, поскольку учитывая конкретные обстоятельства спора, установив , что Обществом были направлены в адрес истца испрашиваемые документы. 3 Доводы, приведенные заявителем, не опровергают выводов апелляционного и окружного судов,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Иванцовой Анастасии Андреевны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