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06.09.2019, оставленным без изменения постановлением Девятого арбитражного апелляционного суда от 29.11.2019, первоначальный иск удовлетворен в заявленном объеме; в удовлетворении встречного иска отказано. Арбитражный суд Московского округа постановлением от 23.06.2020 решение от 06.09.2019 и постановление Девятого арбитражного апелляционного суда от 29.11.2019 оставил без изменения. В кассационной жалобе общество «Искандер» просит об отмене судебных актов, ссылаясь на нарушение норм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долгов по займу, процентам и обязанность по уплате неустойки и отсутствие условий для признания перевода долга недействительной сделкой и разрешили спор в соответствии со статьями 395 , 174 , 575 , 410 , 391 , 807 , 809 , 810 , 811 Гражданского кодекса Российской Федерации. Вопросы доказывания и оценки доказательств, с которыми связаны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«Искандер»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"ЭНЕРГОКОМПЛЕКС - ОРЕНБУРГ" (подробнее) Ответчики: ООО "Искандер" (подробнее) Судьи дела: Ксенофонтова Н.А. (судья) (подробнее) Судебная практика по: Признание договора дарения недействительным Судебная практика по применению нормы ст. 575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