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20.12.2019, оставленным без изменения постановлением Семнадцатого арбитражного апелляционного суда от 10.03.2020 и постановлением Арбитражного суда Уральского округа от 06.06.2020, иск удовлетворен. В кассационной жалобе банк просит об отмене судебных актов, ссылаясь на правомерный отказ от исполнения не соответствующего режиму использования счета распоряжения и рассмотрение дела без привлечения государственного заказчика.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осуществление поставки в рамках договора от 29.07.2019 № 1620187421732412208010935/9/2019 и соответствие требования о ее оплате условиям договора, поэтому обязали банк перечислить находящиеся на причитающемся для реализации договора счете денежные средства в соответствии со статьей 845 Гражданского кодекса Российской Федерации и в отсутствие противоречия нормам Федерального закона от 29.12.2012 № 275-ФЗ «О государственном оборонном заказе». Минобороны России самостоятельно реализовало право на оспаривание вывода судов о необходимости участия его в деле, поэтому связанный с таким участием довод банка не влияет на результат рассмотрения его жалобы. Доводы кассационной жалобы не подтверждают нарушения норм права и не составляют оснований для пересмотра обжалуемого судебного акта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«Сбербанк»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