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17.09.2019 иск удовлетворен частично. Постановлением Семнадцатого арбитражного апелляционного суда от 18.12.2019, оставленным без изменения постановлением Арбитражного суда Уральского округа от 15.06.2020, решение изменено: взысканы расходы на услуги нотариуса. В кассационной жалобе предприниматель ФИО1 просит о пересмотре судебных актов, ссылаясь на неосновательное удовлетворение иска в полном объеме при выполнении работы на 98 процентов и неприменение норм о подряде об оплате части работ.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обязанность по представлению текста договора, актов приема этапов работ возлагалась на ответчика и не исполнена им. В отсутствие доказательств исполнения обязательства суды правомерно обязали ответчика возвратить полученный от истца предварительный платеж на основании статьи 1102 Гражданского кодекса Российской Федерации. Доводы кассационной жалобы, связанные с доказыванием и оценкой доказательств, не составляют оснований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Тюрин Максим Александрович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