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18.10.2019 иск удовлетворен частично. Постановлением Восемнадцатого арбитражного апелляционного суда от 20.02.2020, оставленным без изменения постановлением Арбитражного суда Уральского округа от 15.06.2020, решение в отношении упущенной выгоды отменено и в этой части иска отказано, в остальной части решение оставлено без изменения. В кассационной жалобе предприниматель ФИО1 просит о пересмотре постановлений апелляционного и окружного судов, ссылаясь на наличие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в силу статей 15 , 393 Гражданского кодекса Российской Федерации условия для взыскания убытков, устанавливаются судами, рассматривающими дело по правилам для суда первой инстанции, и требуемая в жалобе их переоценка не составляет оснований для пересмотра судебных актов на стадии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Глава крестьянского (фермерского) хозяйства Мария Викторовна Горячевских (подробнее) Иные лица: Межрайонная инспекция Федеральной налоговой службы №14 по Тюменской области (подробнее) ООО "БЮРО НЕЗАВИСИМОЙ ЭКСПЕРТИЗЫ, ОЦЕНКИ И БИЗНЕС-ПЛАНИРОВАНИЯ"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