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18.10.2019, оставленным без изменения постановлением Семнадцатого арбитражного апелляционного суда от 20.01.2020 и постановлением Арбитражного суда Уральского округа от 15.06.2020, в удовлетворении исков отказано. В кассационной жалобе общество «Быстрые решения» просит о пересмотре судебных актов в части отказа в удовлетворении его требования о взыскании задолженности, ссылаясь на немотивированное уменьшение стоимости оказанных услуг и неосновательную оценку поведения исполнителя.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завышение размера вознаграждения исполнителя (общества «Быстрые решения») за оказанные услуги в рамках договоров оказания юридических услуг от 14.05.2018 № 1405-18, от 01.06.2018 № 0106-18, от 20.07.2018 № 2007-18, в связи с чем отказали в иске на основании статей 10 , 309 , 310 , 779 , 781 Гражданского кодекса Российской Федерации. Оспаривание выводов судов, сделанных по итогу оценки доказательств,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«Быстрые решения»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РАБОТНИКОВ "ЕКАТЕРИНБУРГГОРПРОЕКТ" (подробнее) Ответчики: ЗАО РАБОТНИКОВ "ЕКАТЕРИНБУРГГОРПРОЕКТ" (подробнее) ООО "Быстрые Решения"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