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07.10.2019 (с учетом дополнительного решения от 24.10.2019), оставленным без изменения постановлением Восьмого арбитражного апелляционного суда от 03.02.2020 и постановлением Арбитражного суда Западно-Сибирского округа от 16.06.2020, первоначальный иск удовлетворен частично, в удовлетворении встречного иска отказано. В кассационной жалобе предприниматель просит о пересмотре судебных актов, ссылаясь на надлежащее исполнение обязательств по поставке и относимость заявленных недостатков исключительно к программному обеспечению, являющемуся предметом самостоятельного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лицензионное соглашение является частью договора поставки оборудования от 07.08.2018 № 162-18/СУО, что исключает оценку его исполнения независимо от поставки. Суды установили, что переданное оборудование не соответствует условиям договора, поэтому признали право банка на применение законных и договорных последствий (статьи 330 , 475 , 523 Гражданского кодекса Российской Федерации). Заложенное в доводах жалобы оспаривание выводов судов, сделанных по результату исследования и оценки обстоятельств дела,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"СУРГУТНЕФТЕГАЗБАНК" (подробнее) Иные лица: Инспекция Федеральной налоговой службы №13 по г. Москве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