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13.11.2019, оставленным без изменения постановлением Восемнадцатого арбитражного апелляционного суда от 11.03.2020 и постановлением Арбитражного суда Уральского округа от 16.06.2020, заявление общества о взыскании 92 212 рублей 28 копеек судебных расходов удовлетворено на 48 374 рубля 79 копеек. В кассационной жалобе ФИО1 просит о пересмотре судебных актов в отношении судебных расходов, ссылаясь на их неотносимость к делу, неразумность и необоснованность.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нормами статей 101 , 106 , 110 Арбитражного процессуального кодекса Российской Федерации, характером спора и обстоятельствами его рассмотрения. Суды проверили заявленные судебные расходов на соответствие критериям разумности и обоснованности, определенным законом и судебной практикой, и установили сумму затрат общества на ведение дела во взысканном размере. Иная оценка обоснованности расходов, изложенная в рассматриваемой жалобе,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"Электрон"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