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18.10.2019 в удовлетворении иска отказано. Девятый арбитражный апелляционный суд постановлением от 04.02.2020 решение от 18.10.2019 отменил и исковые требования удовлетворил. Арбитражный суд Московского округа постановлением от 18.06.2020 постановление Девятого арбитражного апелляционного суда от 04.02.2020 оставил без изменения. В кассационной жалобе акционерное общество «СОГАЗ» просит об отмене судебных актов апелляционного и окружного судов, ссылаясь на возложение обязанности возмещения не покрываемых страхованием расходов.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апелляционной инстанции, повторно рассмотревший дело, исследовал обстоятельства возникновения аварийных ситуаций 20.02.2017 и 12.06.2017 и признал расходы на устранение их последствий охватываемыми договором генерального подряда от 14.11.2007 № 1-07кс, убытки вследствие повреждения имущества при исполнении которого являются застрахованным риском. Иное толкование условий страхования не создает оснований для кассационного пересмотра судебных актов.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«СОГАЗ»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"КВАРЦ-Новые Технологии" (подробнее) Ответчики: АО "СТРАХОВОЕ ОБЩЕСТВО ГАЗОВОЙ ПРОМЫШЛЕННОСТИ"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