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29.10.2019, оставленным без изменения постановлением Второго арбитражного апелляционного суда от 29.01.2020 и постановлением Арбитражного суда Волго-Вятского округа от 17.06.2020, иск удовлетворен. В кассационной жалобе общество «ФИНВАЛ» просит о пересмотре судебных актов, ссылаясь на недобросовестное требование истцом неустойки, влекущее уменьшение ее размера.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 для применения ответственности и определения ее размера устанавливаются судами, рассматривающими дело по правилам для суда первой инстанции, и требуемое в жалобе изменение их оценки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«ФИНВАЛ»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"Ярославское пассажирское автотранспортное предприятие №3" (подробнее) Ответчики: ООО "ФИНВАЛ"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