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28.10.2019, оставленным без изменения постановлением Девятого арбитражного апелляционного суда от 27.02.2020 и постановлением Арбитражного суда Московского округа от 17.06.2020, иск удовлетворен. В кассационной жалобе общество «КомплектСистема» просит об отмене судебных актов, ссылаясь на несоответствие их договору в отношении цены на оказываемые услуги.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оказание истцом дополнительных услуг, заказанных и принятых ответчиком, поэтому удовлетворили иск в соответствии с обстоятельствами исполнения обязательства и статьями 421 , 423 , 424 , 779 , 781 Гражданского кодекса Российской Федерации. Заложенное в доводах жалобы оспаривание выводов судов, сделанных по результату исследования и оценки обстоятельств дела,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«КомплектСистема»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"Алгоритм" (подробнее) Ответчики: ООО "КОМПЛЕКТСИСТЕМА"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