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25.11.2019, оставленным без изменения постановлением Восемнадцатого арбитражного апелляционного суда от 17.02.2020, иск удовлетворен в заявленном размере. Арбитражный суд Уральского округа постановлением от 19.06.2020 решение от 25.11.2019 и постановление Восемнадцатого арбитражного апелляционного суда от 17.02.2020 оставил без изменения. В кассационной жалобе общество «Карабашские абразивы» просит об отмене судебных актов, ссылаясь на принятие недостоверных доказательств в обоснование искажения наименования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Расхождение в наименовании указанного в железнодорожной накладной и фактически перевозимого груза установлено судами на основании представленных доказательств. Оценка судами доказательств и реализация ими права на применение статьи 333 Гражданского кодекса Российской Федерации не пересматриваются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«Карабашские абразивы»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(подробнее) Ответчики: ООО "Карабашские абразивы"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