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Смоленской области от 25.06.2019, оставленным без изменения постановлением Двадцатого арбитражного апелляционного суда от 11.02.2020 и постановлением Арбитражного суда Центрального округа от 13.07.2020, заявление общества «Авангард» о взыскании 2 122 591 рублей судебных расходов удовлетворено на сумму в 350 157 рублей 20 копеек. В кассационной жалобе банк просит о пересмотре судебных актов в отношении судебных расходов, ссылаясь на завышение их размера и необоснованность.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«Смоленский Банк» в лице конкурсного управляющего –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"Авангард" (подробнее) Ответчики: Конкурсный управляющий ОАО "Смоленский банк" - Государственная корпорация "Агентство по страхованию вкладов" (подробнее) ОАО Представитель конкурсного управляющего "Смоленский банк" (подробнее) ОАО "Смоленский банк" в лице конкурсного управляющего - ГК"АСВ" (подробнее) Иные лица: Инспекция ФНС Росии по г. Смоленску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