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04.12.2019 исковые требования удовлетворены. Определением Девятого арбитражного апелляционного суда от 10.03.2020, оставленным без изменения постановлением Арбитражного суда Московского округа от 23.06.2020, апелляционная жалоба возвращена предпринимателю связи с пропуском срока подачи и отказом в удовлетворении ходатайства о восстановлении срока. В кассационной жалобе предприниматель просит о пересмотре судебных актов в отношении возвращения апелляционной жалобы, ссылаясь на неполучение определения о принятии искового заявления к производству суда.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копия определения о принятии к производству искового заявления направлена по актуальному адресу и возвращена в почтовое отделение по истечении срока хранения. Неотслеживание поступившей по месту регистрации почтовой корреспонденции суды правомерно признали риском предпринимателя, влекущим примененное последствие – утрату возможности обжалования судебного акта.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"РЕСТРУКТУРИЗАЦИЯ"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