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14.11.2019, оставленным без изменения постановлением Двадцатого арбитражного апелляционного суда от 15.02.2020 и постановлением Арбитражного суда Центрального округа от 15.06.2020, иск удовлетворен. В кассационной жалобе учреждение просит отменить судебные акты, ссылаясь на исполнение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Вопрос о лице, фактически оказавшем услуги на заявленную сумму, разрешен в деле № А09-15162/2016, и не мог быть проигнорирован при рассмотрении настоящего дела.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бюджетному учреждению «Дорожное управление» города Брянска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МУП "Жилспецсервис" г.Брянска (подробнее) Ответчики: МУНИЦИПАЛЬНОЕ БЮДЖЕТНОЕ УЧРЕЖДЕНИЕ "ДОРОЖНОЕ УПРАВЛЕНИЕ СОВЕТСКОГО РАЙОНА" Г. БРЯНСКА (подробнее) Иные лица: Арбитражный суд Центрального округа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