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12.12.2019, оставленным без изменения постановлением Восемнадцатого арбитражного апелляционного суда от 17.03.2020 и постановлением Арбитражного суда Уральского округа от 10.07.2020, иск удовлетворен. В кассационной жалобе предприниматель просит об отмене судебных актов, ссылаясь на отсутствие информирования участников дорожного движения о введенных ограничениях.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установлено. Довод заявителя об отсутствии информации об ограничениях опровергается установленными судами обстоятельствами. Суды установили в действиях предпринимателя состав правонарушения для применения ответственности и удовлетворили иск на основании статей 15 , 1064 Гражданского кодекса Российской Федерации, норм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государственное казенное учреждение Служба весового контроля Республики Башкортостан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