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21.10.2019, оставленным без изменения постановлением Девятого арбитражного апелляционного суда от 23.01.2020, в удовлетворении первоначального иска отказано, встречный иск удовлетворен. Арбитражный суд Московского округа постановлением от 25.06.2020 решение от 21.10.2019 и постановление Девятого арбитражного апелляционного суда от 23.01.2020 оставил без изменения. В кассационной жалобе индивидуальный предприниматель ФИО1 просит об отмене судебных актов, ссылаясь на игнорирование оказания основных услуг и отсутствия основания для возврата уплаченной за дополнительные услуги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Требуемый в жалобе пересмотр оценки обстоятельств оказания услуг указанных оснований не составляет.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