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24.01.2020, иск удовлетворен в заявленном размере. Арбитражный суд Московского округа постановлением от 02.07.2020 решение от 21.10.2019 и постановление Девятого арбитражного апелляционного суда от 24.01.2020 без изменения. В кассационной жалобе общество «Транспортные системы» просит об отмене судебных актов, ссылаясь на неосновательное неприменение повышенного стандарта доказывания, который выявил бы фиктивность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"Гидрометаллургический завод" (подробнее) ОАО к/у "ГМЗ" (подробнее) Ответчики: ООО "Транспортные системы"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