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27.11.2019, оставленным без изменения постановлением Девятого арбитражного апелляционного суда от 10.03.2020, в удовлетворении заявления отказано. Арбитражный суд Московского округа постановлением от 06.07.2020 решение от 27.11.2019 и постановление Девятого арбитражного апелляционного суда от 10.03.2020 оставил без изменения. В кассационной жалобе компания просит об отмене судебных актов вследствие нарушения норм процессуального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Действия суда, которые заявитель считает процессуальными нарушениями, таковыми не являются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«ТД Донская металлургическая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"ТД ДОНСКАЯ МЕТАЛЛУРГИЧЕСКАЯ КОМПАНИЯ" (подробнее) Ответчики: БАНК РОССИИ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