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23.07.2019, оставленным без изменения постановлением Девятого арбитражного апелляционного суда от 03.12.2019, в удовлетворении иска отказано. Арбитражный суд Московского округа постановлением от 19.06.2020 решение от 23.07.2019 и постановление Девятого арбитражного апелляционного суда от 03.12.2019 оставил без изменения. В кассационной жалобе общество «Страховая компания «Арсеналъ» просит об отмене постановления суда округа вследствие неправильного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страховое возмещение выплачено обществом «Страховая компания «Арсеналъ» в связи со страховым случаем, попадающим под действие контракта от 12.09.2016 № 31/29 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 и сотрудников войск национальной гвардии Российской Федерации». В такой ситуации оснований для переложения выплаченной суммы на ответчика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