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08.10.2019, оставленным без изменения постановлением Семнадцатого арбитражного апелляционного суда от 10.01.2020, исковые требования удовлетворены. Арбитражный суд Уральского округа постановлением от 07.07.2020 решение от 08.10.2019 и постановление Семнадцатого арбитражного апелляционного суда от 10.01.2020 оставил без изменения. В кассационной жалобе корпорация просит об отмене судебных актов, ссылаясь на ненадлежащее исследование представленных доказательств и отсутствие правовой оценки ее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обоснованность заявленных требований и удовлетворили их в соответствии со статьями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«Спецстрой-ЕК»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АЛИКАРСПЕЦСТРОЙ (подробнее) Ответчики: ООО "КОРПОРАЦИЯ "СПЕЦИАЛЬНОГО СТРОИТЕЛЬСТВА ЕКАТЕРИНБУРГА"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