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15.10.2019, оставленным без изменения постановлением Девятого арбитражного апелляционного суда от 23.12.2019, в удовлетворении первоначального и встречного исков отказано. Арбитражный суд Московского округа постановлением от 22.06.2020 решение от 15.10.2019 и постановление Девятого арбитражного апелляционного суда от 23.12.2019 оставил без изменения. В кассационной жалобе завод просит об отмене судебных актов, ссылаясь на возникновение требования о возврате предоплаты в связи с отсутствием необходимого в силу договора уведомления о наличии товара на складе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подтвержденным надлежащим доказательствами уведомление завода о готовности товара к отгрузке со склада ответчика в определенный срок. Поскольку наличия объективных препятствий в получении товара на складе ответчика и нарушение последним условий договора не подтверждено, суды отказали заводу в удовлетворении иска в соответствии со статьями 463 , 487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«Серпуховский вентиляторный завод Вентмаш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Серпуховский вентиляционный завод Вентмаш М (подробнее) Ответчики: ООО Глобал Климат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