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16.10.2019, оставленным без изменения постановлением Первого арбитражного апелляционного суда от 12.02.2020, в удовлетворении иска отказано в связи с недоказанностью необходимых для взыскания убытков условий. Арбитражный суд Волго-Вятского округа постановлением от 18.06.2020 решение от 16.10.2019 и постановление Первого арбитражного апелляционного суда от 12.02.2020 оставил без изменения. В кассационной жалобе общество «Диет Пром» просит об отмене судебных актов, ссылаясь на игнорирование не требующего доказывания признания ответчиком поставки некачественного товара и недобросовестности ответчика, отказавшегося от признанных обстоятельств в процессе рассмотрения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Предметом спора является упущенная выгода и ее отношения к задолженностям, отраженным в актах зачета взаимных требований, заявитель не обосновал. Суды рассмотрели довод о придании названным актам силы соглашения о признанных обстоятельствах и правильно его отклонили.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«Диет Пром»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"Диет Пром" (подробнее) ООО "Диет Пром" представитель Додорян Александр Саргатович (подробнее) Ответчики: ООО "Бизнес-Логистика"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