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28.08.2019 исковые требования удовлетворены. Шестнадцатый арбитражный апелляционный суд постановлением от 22.01.2020 отменил решение от 28.08.2019 и, рассмотрев дело по правилам, установленным для суда первой инстанции, удовлетворил иск за счет ответчиков в равных суммах. Арбитражный суд Уральского округа постановлением от 16.06.2020 постановление Шестнадцатого арбитражного апелляционного суда от 22.01.2020 оставил без изменения. В кассационной жалобе компания просит об отмене судебных актов апелляционного и окружного судов, ссылаясь на недоказанность ненадлежащего технического состояния принадлежащего ей пути и отсутствие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Ненадлежащее состояние принадлежащего компании пути подтверждено исследованными судами доказательствами. Другие факторы, повлиявшие на сход вагонов, отражены во взыскании убытков с другого ответчика. Обстоятельства, составляющие в силу статей 15, 1064, 1080 Гражданского кодекса Российской Федерации условия для взыскания убытков, установлены судами и их переоценка не составляет оснований для пересмотра судебных актов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«ТПК «Восток-Ресурс»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