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Самарской области от 26.03.2019 в удовлетворении иска отказано. Одиннадцатый арбитражный апелляционный суд постановлением от 16.07.2019 отменил решение от 26.03.2019 и взыскал со страховой компании 2 937 016 рублей 77 копеек страхового возмещения, 283 340 рублей 23 копейки процентов за пользование чужими денежными средствами за период с 25.12.2016 по 10.01.2018 и далее за период с 11.01.2018 до момента фактической уплаты страхового возмещения. Арбитражный суд Поволжского округа постановлением от 27.11.2019 уменьшил страховое возмещение до 2 787 016 рублей 77 копеек, дело в части взыскания процентов за пользование чужими денежными средствами направил на новое рассмотрение в суд апелляционной инстанции. В кассационной жалобе страховая компания просит об отмене судебных актов апелляционного и окружного судов, ссылаясь на неосновательное признание наличия страхового случая и неприменение последствий невозможности суброгации.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Доводы страховой компании о непредставлении истцом документов компетентных органов, подтверждающих факт и причину убытков, и передаче груза неустановленному лицу, опровергаются установленными судами обстоятельствами. Отказ истца от иска к контрагенту по договору транспортной экспедиции не указывает на действия, препятствующие осуществлению суброгации, поскольку истец правомерно выбрал способом возмещения убытков реализацию требования к страховой компании. Суды установили наступление страхового случая, отвечающего критериям, согласованным в договоре от 06.12.2016 № 184 об общих условиях страхования груза, поэтому обязали страховую компанию выплатить страховое возмещение в соответствии с договором.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«Объединенная страховая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Судьи дела: Ксенофонтова Н.А. (судья) (подробнее) Последние документы по делу: Определение от 19 октября 2020 г. по делу № А55-1379/2018 Определение от 10 апреля 2020 г. по делу № А55-1379/2018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