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16.10.2019, оставленным без изменения постановлением Одиннадцатого арбитражного апелляционного суда от 06.02.2020 и постановлением Арбитражного суда Поволжского округа от 18.06.2020, иск удовлетворен. В кассационной жалобе объединение просит о пересмотре судебных актов, ссылаясь на ненадлежащее выполнение истцом встречных обязательств по договору и отсутствие у него основания для отказа от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за истцом право на отказ от договора на основании статьи 717 Гражданского кодекса Российской Федерации и одновременно отсутствие условия для применения последствий в связи с таким отказом – невыполнение объединением имеющих ценность и подлежащих оплате фактически выполненных работ. Иная оценка заявителем обстоятельств исполнения договора не создает оснований для пересмотра судебных актов в кассационном порядке. Отказ в пересмотре судебных актов исключает приостановление их исполнения, о котором ходатайствовало объединение.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объединение «ПромБезЭкспертиза»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"Алана" (подробнее) Ответчики: ООО "НПО ПромБезЭкспертиза" (подробнее) Иные лица: ОСП Ленинского района г.Самара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