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03.12.2019, оставленным без изменения постановлением Семнадцатого арбитражного апелляционного суда от 28.02.2020, иск удовлетворен в заявленном размере. Арбитражный суд Уральского округа постановлением от 16.06.2020 решение от 03.12.2019 и постановление Семнадцатого арбитражного апелляционного суда от 28.02.2020 оставил без изменения. В кассационной жалобе общество «Домашний интерьер» просит об отмене судебных актов, ссылаясь на отсутствие у истца права на вознаграждение за хранение утраченного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 складского хранения товаров от 06.05.2018 № 432/18 расторгнут по инициативе поклажедателя (ответчика) с 28.10.2018 и в связи с переходом к ответчику от истца права аренды склада. Ответчик не заявлял об утрате хранимого имущества при расторжении договора, поэтому стоимость хранения до этого момента взыскана с него в соответствии с пунктом 1 статьи 896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«Домашний интерьер»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ЭЙ БИ ЛОДЖИСТИК (подробнее) Ответчики: ООО Домашний интерьер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