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17.12.2019 исковые требования удовлетворены. Определением Десятого арбитражного апелляционного суда от 14.05.2020, оставленным без изменения постановлением Арбитражного суда Московского округа от 03.07.2020, апелляционная жалоба общества «Гласс-Технолоджис» возвращена в связи с пропуском срока подачи и отказом в восстановлении срока. В кассационной жалобе общество «Гласс-Технолоджис» просит о пересмотре судебных актов о возвращении апелляционной жалобы, ссылаясь на игнорирование уважительности причины пропуска срока ее подачи.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Указанная заявителем причина пропуска срока на апелляционное обжалование решения оценена судами в качестве субъективной, не создающей основания для восстановления срока в соответствии со статьями 117 , 259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«Гласс-Технолоджис»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"Росалко" (подробнее) Ответчики: ООО "ГЛАСС-ТЕХНОЛОДЖИС"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