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25.12.2019, оставленным без изменения постановлением Пятого арбитражного апелляционного суда от 10.03.2020 и постановлением Арбитражного суда Дальневосточного округа от 23.06.2020, в удовлетворении исков отказано. В кассационной жалобе общество «Алаид» просит об отмене судебных актов в части отказа в удовлетворении первоначального иска, ссылаясь на ненадлежащую оценку доказательств причинно-следственной связи убытков с действиями ответчика, принятие решения о правах и обязанностях не привлеченных к участию в деле лиц.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Исследовав обстоятельства возникновения убытков, суд не установил необходимой в силу статей 15 , 393 Гражданского кодекса Российской Федерации связи убытков с ненадлежащим исполнением ответчиком обязательств по договору морской перевозки от 06.07.2018 № LIM/LD/07/04. Вопросы доказывания и оценки доказательств, на которых основаны доводы жалобы, не составляют оснований для кассационного пересмотра судебных актов. Неучастие в деле контрагентов заявителя не влияет на судьбу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«Алаид»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"Алаид" (подробнее) Ответчики: ООО "Лодия" (подробнее) Иные лица: Арбитражный суд Дальневосточного округа (подробнее) МИФНС №5 по Сахалинской области (подробнее) Союз "Приморская торгово-промышленная палата"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