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податель жалобы просит об отсрочке уплаты государственной пошлины, представляя справки обслуживающих банков о состоянии счетов, принадлежность которых подтверждает сведениями налогового органа. Согласно статье 102 Арбитражного процессуального кодекса Российской Федерации и пункту 2 статьи 333.22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 Суд считает подтвержденной невозможность несения расходов на уплату государственной пошлины, поэтому предоставляет отсрочку в ее уплате. Руководствуясь статьей 184 Арбитражного процессуального кодекса Российской Федерации, статьей 333.22 Налогового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предоставить обществу с ограниченной ответственностью «Торгово-промышленная компания «Сибирь Контракт» отсрочку уплаты государственной пошлины до окончания производства по поданной им кассационной жалобе. Судья Верховного Суда Российской Федерации Н.А. Ксенофонтова Суд: Верховный Суд РФ (подробнее) Истцы: Ответчики: ООО "Сибресурс" (подробнее) ООО ТПК "Сибирь-Контракт" (подробнее) Судьи дела: Ксенофонтова Н.А. (судья) Последние документы по делу: Определение от 19 октября 2020 г. по делу № А03-7185/2019 Определение от 19 августа 2020 г. по делу № А03-7185/2019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