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30.10.2019, оставленным без изменения постановлением Девятого арбитражного апелляционного суда от 24.01.2020 и постановлением Арбитражного суда Московского округа от 10.06.2020, заявление истца о взыскании судебных расходов удовлетворено. В кассационной жалобе общество «ИнтерТрансКарго» просит о пересмотре судебных актов в отношении судебных расходов вследствие их неотносимости к делу и недоказанности.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несение заявленных расходов в связи с рассмотрением настоящего дела.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Федерации, характеру спора и обстоятельствам его рассмотрения.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«ИнтерТрансКарго»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"Федеральная грузовая компания" (подробнее) Ответчики: ООО "ИнтерТрансКарго"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