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17.09.2019 в удовлетворении первоначальных и встречных исковых требований отказано. Постановлением Девятнадцатого арбитражного апелляционного суда от 05.03.2020 решение суда первой инстанции в обжалуемой части отменено; встречный иск удовлетворен, с общества в пользу компании взыскано 2 003 725 руб. задолженности по договору от 31.12.2013 № 2/01/13. Постановлением Арбитражного суда Центрального округа от 18.06.2020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незаконность постановлений апелляционного и окружного судов, просит их отменить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компании мотивированы тем, что общество не исполнило обязательства по оплате работ, выполненных компанией в рамках договора от 31.12.2013 № 2/01/13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182 , 309 , 310 , 758 , 759 , 760 Гражданского кодекса Российской Федерации, суд апелляционной инстанции пришел к выводу об обоснованности требований компании. В частности, суд исходил из подтвержденности факта исполнения компанией обязательств по договору и наличия у общества задолженности в заявленном ею размере. С указанными выводами впоследствии согласился суд округа. Доводы заявителя о неподписании договора были предметом рассмотрения судов апелляционной инстанции и округа и получили правовую оценку. Доводы кассационной жалобы по существу свидетельствуют о несогласии с выводами судов, основанными на оценке представленных в материалы дела доказательств и фактических обстоятельств спора, при этом существенных нарушений норм материального и процессуального права, повлиявших на исход дела, не подтверждают, поэтому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«ЭКО Фудс»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"ЭКО ФУДС" (подробнее) Ответчики: ООО "Белгородремстройпроект" (подробнее) ООО "Белстройпроект" (подробнее) Иные лица: АО БАНК ГПБ (подробнее) Годунов О.а. Олег Александрович (подробнее) Межрайонная инспекция Федеральной налоговой службы №2 по Белгородской области (подробнее) ООО "МКЦ "Триумф" (подробнее) Отдел адресно-справочной работы УФМС России по Белгородской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