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«АЛЬТ» (поставщик) обратилось в Арбитражный суд Московской области с иском о взыскании с общества с ограниченной ответственностью «ЭМЕКС.РУ» (покупателя) 8 780 759 рублей 71 копейки задолженности за поставленный товар и 378 675 рублей 23 копеек процентов за пользование чужими денежными средствами. Решением Арбитражного суда Московской области от 04.12.2019 в удовлетворении иска отказано. Постановлением Десятого арбитражного апелляционного суда от 17.02.2020 решение суда первой инстанции оставлено без изменения. Арбитражный суд Московского округа постановлением от 29.06.2020 указанные судебные акты оставил без изменения. Общество с ограниченной ответственностью «АЛЬТ»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заключенного сторонами договора поставки, установив факты пропуска истцом срока исковой давности по части требований, прекращения в части обязательства ответчика по оплате поставленного истцом товара путем зачета встречного однородного требования, возврата ответчиком в адрес истца части товара, руководствуясь положениями статей 195 , 196 , 200 , 309 , 310 , 410 , 486 , 506 , 516 Гражданского кодекса Российской Федерации, суды пришли к выводу об отсутствии оснований для удовлетворения иска. Доводы, изложенные в кассационной жалобе, с учетом установленных фактических обстоятельств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В период рассмотрения дела судами трех инстанций истцом (обратившимся с настоящим иском в арбитражный суд) вопрос о подсудности спора не ставился.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«АЛЬТ»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"Альт" (подробнее) Ответчики: ООО "Эмекс.Ру" (подробнее) Судьи дела: Зарубина Е.Н. (судья) (подробнее) Судебная практика по: По договору поставки Судебная практика по применению норм ст. 506, 507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