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29.10.2019, оставленным без изменения постановлением Двенадцатого арбитражного апелляционного суда от 21.01.2020 и постановлением Арбитражного суда Поволжского округа от 17.06.2020, с общества в пользу организации взыскано 248 514 руб. 84 коп. задолженности по оплате взносов за капитальный ремонт за период с июня 2016 года по сентябрь 2019, 56 004 руб. 85 коп. пеней за период с 01.04.2018 по 18.10.2019, 8055 руб. 85 коп. расходов по уплате государственной пошлины, в удовлетворении остальной части исковых требований отказано. В кассационной жалобе, поданной в Верховный Суд Российской Федерации, общество просит отменить указанные судебные акты, ссылаясь на их незаконность.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 , 8 , 210 , 249 , 309 , 310 Гражданского кодекса Российской Федерации, статьями 39 , 155 , 156 , 158 , 169 , 170 Жилищного кодекса Российской Федерации, Постановлением Правительства Российской Федерации от 01.07.2016 № 615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разъяснениями, приведенными в постановлении Пленума Верховного Суда Российской Федерации от 23.06.2015 № 25 «О применении судами некоторых положений раздел I части первой Гражданского кодекса Российской Федерации», установив факт неисполнения обществом обязанности по оплате спорных платежей, учитывая заявление последнего о пропуске срока исковой давности и его обоснованность в части периода взыскания, суды первой и апелляционной инстанций пришли к выводу о наличии оснований для частичного удовлетворения исковых требований организации, с чем впоследствии согласился суд округа. Доводы заявителя о том, что одно из принадлежащих ему помещений не должно участвовать в расчете взносов за капитальный ремонт общего имущества спорного многоквартирного дома, так как является самостоятельным объектом, были предметом рассмотрения судов и получили правовую оценку. Доводы кассационной жалобы не опровергают выводы судов, направлены на переоценку установленных судами обстоятельств дела,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«ЕНА»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УНИТАРНАЯ НЕКОММЕРЧЕСКАЯ ОРГАНИЗАЦИЯ "РЕГИОНАЛЬНЫЙ ФОНД КАПИТАЛЬНОГО РЕМОНТА МНОГОКВАРТИРНЫХ ДОМОВ" (подробнее) Ответчики: ООО "Ена" (подробнее) ООО представитель "ЕНА" Давтян Д.В. (подробнее) Судьи дела: Чучунова Н.С. (судья) (подробнее) Судебная практика по: По коммунальным платежам Судебная практика по применению норм ст. 153, 154, 155, 156, 156.1, 157, 157.1, 158 ЖК РФ Капитальный ремонт Судебная практика по применению норм ст. 166, 167, 168, 169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